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37" w:rsidRDefault="00126837" w:rsidP="00126837">
      <w:pPr>
        <w:pStyle w:val="Cmsor2"/>
        <w:spacing w:before="0" w:after="200" w:line="360" w:lineRule="auto"/>
        <w:ind w:right="361"/>
        <w:jc w:val="both"/>
        <w:rPr>
          <w:rFonts w:ascii="Tahoma" w:hAnsi="Tahoma" w:cs="Tahoma"/>
          <w:b w:val="0"/>
          <w:sz w:val="18"/>
          <w:szCs w:val="18"/>
          <w:lang w:val="hu-HU"/>
        </w:rPr>
      </w:pPr>
      <w:bookmarkStart w:id="0" w:name="_Toc33967304"/>
      <w:r>
        <w:rPr>
          <w:rFonts w:ascii="Tahoma" w:hAnsi="Tahoma" w:cs="Tahoma"/>
          <w:b w:val="0"/>
          <w:sz w:val="18"/>
          <w:szCs w:val="18"/>
          <w:lang w:val="hu-HU"/>
        </w:rPr>
        <w:t>2. sz. Melléklet: Néhány szakkifejezés magyarázata</w:t>
      </w:r>
      <w:bookmarkEnd w:id="0"/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1. </w:t>
      </w:r>
      <w:r>
        <w:rPr>
          <w:rFonts w:ascii="Tahoma" w:hAnsi="Tahoma" w:cs="Tahoma"/>
          <w:i/>
          <w:sz w:val="18"/>
          <w:szCs w:val="18"/>
          <w:lang w:val="hu-HU"/>
        </w:rPr>
        <w:t>Adatbázis</w:t>
      </w:r>
      <w:r>
        <w:rPr>
          <w:rFonts w:ascii="Tahoma" w:hAnsi="Tahoma" w:cs="Tahoma"/>
          <w:i/>
          <w:iCs/>
          <w:sz w:val="18"/>
          <w:szCs w:val="18"/>
          <w:lang w:val="hu-HU"/>
        </w:rPr>
        <w:t>:</w:t>
      </w:r>
      <w:r>
        <w:rPr>
          <w:rFonts w:ascii="Tahoma" w:hAnsi="Tahoma" w:cs="Tahoma"/>
          <w:sz w:val="18"/>
          <w:szCs w:val="18"/>
          <w:lang w:val="hu-HU"/>
        </w:rPr>
        <w:t xml:space="preserve"> önálló művek, adatok vagy egyéb tartalmi elemek valamely rendszer vagy módszer szerint elrendezett gyűjteménye, amelynek tartalmi elemeihez – számítástechnikai eszközökkel vagy bármely más módon – egyedileg hozzá lehet férni, azaz a tartalmi elemek egyenként érhetők el [Szjt. 60/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A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. § (1) bekezdés]. Az Szjt. az adatbázisok közül egyfelől szerzői jogi védelemben részesíti azokat, amelyek összeállítása egyéni, eredeti jellegű szerkesztői tevékenységet igényelt (gyűjteményes művek, Szjt. 7. §), másfelől ún.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kapcsolódó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jogi védelmet biztosít azoknak, amelyek tartalmának megszerzése, ellenőrzése vagy megjelenítése jelentős ráfordítást igényelt (Szjt. 84/A §). E két oltalom egymással párhuzamosan is fennállhat a szerkesztő, illetve az adatbázis előállítója javára.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2. </w:t>
      </w:r>
      <w:r>
        <w:rPr>
          <w:rFonts w:ascii="Tahoma" w:hAnsi="Tahoma" w:cs="Tahoma"/>
          <w:i/>
          <w:sz w:val="18"/>
          <w:szCs w:val="18"/>
          <w:lang w:val="hu-HU"/>
        </w:rPr>
        <w:t>Alkalmazotti találmány</w:t>
      </w:r>
      <w:r>
        <w:rPr>
          <w:rFonts w:ascii="Tahoma" w:hAnsi="Tahoma" w:cs="Tahoma"/>
          <w:i/>
          <w:iCs/>
          <w:sz w:val="18"/>
          <w:szCs w:val="18"/>
          <w:lang w:val="hu-HU"/>
        </w:rPr>
        <w:t>:</w:t>
      </w:r>
      <w:r>
        <w:rPr>
          <w:rFonts w:ascii="Tahoma" w:hAnsi="Tahoma" w:cs="Tahoma"/>
          <w:sz w:val="18"/>
          <w:szCs w:val="18"/>
          <w:lang w:val="hu-HU"/>
        </w:rPr>
        <w:t xml:space="preserve"> annak a találmánya, aki, anélkül, hogy ez munkaviszonyból eredő kötelessége lenne, olyan találmányt dolgoz ki, amelynek hasznosítása munkáltatója tevékenységi körébe tartozik; az alkalmazotti találmányra a szabadalom a feltalálót illeti meg, a munkáltatót azonban megilleti a találmány nem kizárólagos, át nem ruházható hasznosítási joga. (Szt. 9-10. §-ok).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3. </w:t>
      </w:r>
      <w:r>
        <w:rPr>
          <w:rFonts w:ascii="Tahoma" w:hAnsi="Tahoma" w:cs="Tahoma"/>
          <w:i/>
          <w:sz w:val="18"/>
          <w:szCs w:val="18"/>
          <w:lang w:val="hu-HU"/>
        </w:rPr>
        <w:t>Formatervezési minta</w:t>
      </w:r>
      <w:r>
        <w:rPr>
          <w:rFonts w:ascii="Tahoma" w:hAnsi="Tahoma" w:cs="Tahoma"/>
          <w:sz w:val="18"/>
          <w:szCs w:val="18"/>
          <w:lang w:val="hu-HU"/>
        </w:rPr>
        <w:t>: valamely termék egészének vagy részének megjelenése, amelyet magának a terméknek, illetve a díszítésének a külső jellegzetességei – különösen a rajzolat, a körvonalak, a színek, az alak, a felület, illetve a felhasznált anyagok jellegzetességei – eredményeznek, amely oltalomban részesülhet, ha új és egyéni jellegű.</w:t>
      </w:r>
      <w:r>
        <w:t xml:space="preserve"> 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[a formatervezési minták oltalmáról 2001. évi XLVIII. törvény (továbbiakban: </w:t>
      </w:r>
      <w:proofErr w:type="spellStart"/>
      <w:r>
        <w:rPr>
          <w:rFonts w:ascii="Tahoma" w:hAnsi="Tahoma" w:cs="Tahoma"/>
          <w:sz w:val="18"/>
          <w:szCs w:val="18"/>
          <w:lang w:val="hu-HU"/>
        </w:rPr>
        <w:t>Fmtv</w:t>
      </w:r>
      <w:proofErr w:type="spellEnd"/>
      <w:r>
        <w:rPr>
          <w:rFonts w:ascii="Tahoma" w:hAnsi="Tahoma" w:cs="Tahoma"/>
          <w:sz w:val="18"/>
          <w:szCs w:val="18"/>
          <w:lang w:val="hu-HU"/>
        </w:rPr>
        <w:t>.) 1. §.]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4. </w:t>
      </w:r>
      <w:r>
        <w:rPr>
          <w:rFonts w:ascii="Tahoma" w:hAnsi="Tahoma" w:cs="Tahoma"/>
          <w:i/>
          <w:sz w:val="18"/>
          <w:szCs w:val="18"/>
          <w:lang w:val="hu-HU"/>
        </w:rPr>
        <w:t>Használati minta:</w:t>
      </w:r>
      <w:r>
        <w:rPr>
          <w:rFonts w:ascii="Tahoma" w:hAnsi="Tahoma" w:cs="Tahoma"/>
          <w:sz w:val="18"/>
          <w:szCs w:val="18"/>
          <w:lang w:val="hu-HU"/>
        </w:rPr>
        <w:t xml:space="preserve"> valamely tárgy kialakítására, szerkezetére vagy részeinek elrendezésére vonatkozó megoldás, amely oltalomban részesülhet, ha új, feltalálói lépésen alapul és iparilag alkalmazható [a használati minták oltalmáról 1991. évi XXXVIII. törvény 1. §-</w:t>
      </w:r>
      <w:proofErr w:type="spellStart"/>
      <w:r>
        <w:rPr>
          <w:rFonts w:ascii="Tahoma" w:hAnsi="Tahoma" w:cs="Tahoma"/>
          <w:sz w:val="18"/>
          <w:szCs w:val="18"/>
          <w:lang w:val="hu-HU"/>
        </w:rPr>
        <w:t>ának</w:t>
      </w:r>
      <w:proofErr w:type="spellEnd"/>
      <w:r>
        <w:rPr>
          <w:rFonts w:ascii="Tahoma" w:hAnsi="Tahoma" w:cs="Tahoma"/>
          <w:sz w:val="18"/>
          <w:szCs w:val="18"/>
          <w:lang w:val="hu-HU"/>
        </w:rPr>
        <w:t xml:space="preserve"> (1) bekezdése].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5. </w:t>
      </w:r>
      <w:proofErr w:type="gramStart"/>
      <w:r>
        <w:rPr>
          <w:rFonts w:ascii="Tahoma" w:hAnsi="Tahoma" w:cs="Tahoma"/>
          <w:i/>
          <w:sz w:val="18"/>
          <w:szCs w:val="18"/>
          <w:lang w:val="hu-HU"/>
        </w:rPr>
        <w:t>Hasznosítás</w:t>
      </w:r>
      <w:r>
        <w:rPr>
          <w:rFonts w:ascii="Tahoma" w:hAnsi="Tahoma" w:cs="Tahoma"/>
          <w:i/>
          <w:iCs/>
          <w:sz w:val="18"/>
          <w:szCs w:val="18"/>
          <w:lang w:val="hu-HU"/>
        </w:rPr>
        <w:t xml:space="preserve">: </w:t>
      </w:r>
      <w:r>
        <w:rPr>
          <w:rFonts w:ascii="Tahoma" w:hAnsi="Tahoma" w:cs="Tahoma"/>
          <w:sz w:val="18"/>
          <w:szCs w:val="18"/>
          <w:lang w:val="hu-HU"/>
        </w:rPr>
        <w:t>az Szt. (a használati minták és a topográfiák tekintetében is megfelelően alkalmazandó) rendelkezései alapján hasznosításnak minősül a találmány tárgyát képező termék előállítása, használata, forgalomba hozatala, forgalomba hozatalra ajánlása, e termék ilyen célból történő raktáron tartása vagy az országba történő behozatala; a találmány tárgyát képező eljárás használata és használatra ajánlása, az ilyen eljárással közvetlenül előállított termék használata, forgalomba hozatala, forgalomba hozatalra ajánlása vagy ilyen célból raktáron tartása, illetve az országba történő behozatala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[az Szt. 19. §-</w:t>
      </w:r>
      <w:proofErr w:type="spellStart"/>
      <w:r>
        <w:rPr>
          <w:rFonts w:ascii="Tahoma" w:hAnsi="Tahoma" w:cs="Tahoma"/>
          <w:sz w:val="18"/>
          <w:szCs w:val="18"/>
          <w:lang w:val="hu-HU"/>
        </w:rPr>
        <w:t>ának</w:t>
      </w:r>
      <w:proofErr w:type="spellEnd"/>
      <w:r>
        <w:rPr>
          <w:rFonts w:ascii="Tahoma" w:hAnsi="Tahoma" w:cs="Tahoma"/>
          <w:sz w:val="18"/>
          <w:szCs w:val="18"/>
          <w:lang w:val="hu-HU"/>
        </w:rPr>
        <w:t xml:space="preserve"> (2) bekezdése]. Az </w:t>
      </w:r>
      <w:proofErr w:type="spellStart"/>
      <w:r>
        <w:rPr>
          <w:rFonts w:ascii="Tahoma" w:hAnsi="Tahoma" w:cs="Tahoma"/>
          <w:sz w:val="18"/>
          <w:szCs w:val="18"/>
          <w:lang w:val="hu-HU"/>
        </w:rPr>
        <w:t>Fmtv</w:t>
      </w:r>
      <w:proofErr w:type="spellEnd"/>
      <w:r>
        <w:rPr>
          <w:rFonts w:ascii="Tahoma" w:hAnsi="Tahoma" w:cs="Tahoma"/>
          <w:sz w:val="18"/>
          <w:szCs w:val="18"/>
          <w:lang w:val="hu-HU"/>
        </w:rPr>
        <w:t xml:space="preserve">. rendelkezései alapján hasznosításnak minősül különösen a minta szerinti termék előállítása, használata, forgalomba hozatala, forgalomba hozatalra való felkínálása, behozatala, kivitele és e célokból való raktáron tartása [az </w:t>
      </w:r>
      <w:proofErr w:type="spellStart"/>
      <w:r>
        <w:rPr>
          <w:rFonts w:ascii="Tahoma" w:hAnsi="Tahoma" w:cs="Tahoma"/>
          <w:sz w:val="18"/>
          <w:szCs w:val="18"/>
          <w:lang w:val="hu-HU"/>
        </w:rPr>
        <w:t>Fmtv</w:t>
      </w:r>
      <w:proofErr w:type="spellEnd"/>
      <w:r>
        <w:rPr>
          <w:rFonts w:ascii="Tahoma" w:hAnsi="Tahoma" w:cs="Tahoma"/>
          <w:sz w:val="18"/>
          <w:szCs w:val="18"/>
          <w:lang w:val="hu-HU"/>
        </w:rPr>
        <w:t>. 16. §-</w:t>
      </w:r>
      <w:proofErr w:type="spellStart"/>
      <w:r>
        <w:rPr>
          <w:rFonts w:ascii="Tahoma" w:hAnsi="Tahoma" w:cs="Tahoma"/>
          <w:sz w:val="18"/>
          <w:szCs w:val="18"/>
          <w:lang w:val="hu-HU"/>
        </w:rPr>
        <w:t>ának</w:t>
      </w:r>
      <w:proofErr w:type="spellEnd"/>
      <w:r>
        <w:rPr>
          <w:rFonts w:ascii="Tahoma" w:hAnsi="Tahoma" w:cs="Tahoma"/>
          <w:sz w:val="18"/>
          <w:szCs w:val="18"/>
          <w:lang w:val="hu-HU"/>
        </w:rPr>
        <w:t xml:space="preserve"> (3) bekezdése]. Az Szabályzat szövegkörnyezetében a fentieken túlmenően hasznosításon értendő a hasznosításnak előnyös piaci helyzet teremtése vagy fenntartása érdekében történő mellőzése, a hasznosítás más részére történő engedélyezése, továbbá a szellemi alkotáson fennálló jogok teljes vagy részleges átruházása is. Szerzői művek esetében a Szabályzat összefüggésében hasznosításon a mű engedély alapján történő felhasználását (többszörözés, terjesztés, nyilvános előadás, nyilvánossághoz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közvetítés sugárzással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vagy másként, sugárzott műnek az eredetihez képest más szervezet közbeiktatásával a nyilvánossághoz történő </w:t>
      </w:r>
      <w:proofErr w:type="spellStart"/>
      <w:r>
        <w:rPr>
          <w:rFonts w:ascii="Tahoma" w:hAnsi="Tahoma" w:cs="Tahoma"/>
          <w:sz w:val="18"/>
          <w:szCs w:val="18"/>
          <w:lang w:val="hu-HU"/>
        </w:rPr>
        <w:t>továbbközvetítése</w:t>
      </w:r>
      <w:proofErr w:type="spellEnd"/>
      <w:r>
        <w:rPr>
          <w:rFonts w:ascii="Tahoma" w:hAnsi="Tahoma" w:cs="Tahoma"/>
          <w:sz w:val="18"/>
          <w:szCs w:val="18"/>
          <w:lang w:val="hu-HU"/>
        </w:rPr>
        <w:t>, átdolgozás, kiállítás), valamint a vagyoni jogok részleges vagy teljes átruházását értjük.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6. </w:t>
      </w:r>
      <w:r>
        <w:rPr>
          <w:rFonts w:ascii="Tahoma" w:hAnsi="Tahoma" w:cs="Tahoma"/>
          <w:i/>
          <w:sz w:val="18"/>
          <w:szCs w:val="18"/>
          <w:lang w:val="hu-HU"/>
        </w:rPr>
        <w:t>Mikroelektronikai félvezető termékek topográfiája</w:t>
      </w:r>
      <w:r>
        <w:rPr>
          <w:rFonts w:ascii="Tahoma" w:hAnsi="Tahoma" w:cs="Tahoma"/>
          <w:i/>
          <w:iCs/>
          <w:sz w:val="18"/>
          <w:szCs w:val="18"/>
          <w:lang w:val="hu-HU"/>
        </w:rPr>
        <w:t>:</w:t>
      </w:r>
      <w:r>
        <w:rPr>
          <w:rFonts w:ascii="Tahoma" w:hAnsi="Tahoma" w:cs="Tahoma"/>
          <w:sz w:val="18"/>
          <w:szCs w:val="18"/>
          <w:lang w:val="hu-HU"/>
        </w:rPr>
        <w:t xml:space="preserve"> a mikroelektronikai félvezető termék elemeinek, amelyek közül legalább egy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aktív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elem, és összekötéseinek vagy azok egy részének bármely formában kifejezett térbeli elrendezése, vagy egy gyártásra szánt félvezető termékhez készített ilyen térbeli elrendezés, amely oltalomban részesíthető, ha eredeti, vagyis </w:t>
      </w:r>
      <w:r>
        <w:rPr>
          <w:rFonts w:ascii="Tahoma" w:hAnsi="Tahoma" w:cs="Tahoma"/>
          <w:sz w:val="18"/>
          <w:szCs w:val="18"/>
          <w:lang w:val="hu-HU"/>
        </w:rPr>
        <w:lastRenderedPageBreak/>
        <w:t xml:space="preserve">saját szellemi alkotómunka eredménye és megalkotása idején nem szokásos az iparban [a mikroelektronikai félvezető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termékek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topográfiájának oltalmáról szóló 1991. évi XXXIX. törvény 1. §-a].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7. </w:t>
      </w:r>
      <w:r>
        <w:rPr>
          <w:rFonts w:ascii="Tahoma" w:hAnsi="Tahoma" w:cs="Tahoma"/>
          <w:i/>
          <w:sz w:val="18"/>
          <w:szCs w:val="18"/>
          <w:lang w:val="hu-HU"/>
        </w:rPr>
        <w:t>Szabadalmazható találmány</w:t>
      </w:r>
      <w:r>
        <w:rPr>
          <w:rFonts w:ascii="Tahoma" w:hAnsi="Tahoma" w:cs="Tahoma"/>
          <w:i/>
          <w:iCs/>
          <w:sz w:val="18"/>
          <w:szCs w:val="18"/>
          <w:lang w:val="hu-HU"/>
        </w:rPr>
        <w:t>:</w:t>
      </w:r>
      <w:r>
        <w:rPr>
          <w:rFonts w:ascii="Tahoma" w:hAnsi="Tahoma" w:cs="Tahoma"/>
          <w:sz w:val="18"/>
          <w:szCs w:val="18"/>
          <w:lang w:val="hu-HU"/>
        </w:rPr>
        <w:t xml:space="preserve"> szabadalmazható minden új, feltalálói tevékenységen alapuló, iparilag alkalmazható találmány a technika bármely területén. Nem minősül szabadalmazható találmánynak különösen a felfedezés, a tudományos elmélet és a matematikai módszer, az esztétikai alkotás, a szellemi tevékenységre, játékra, üzletvitelre vonatkozó terv, szabály vagy eljárás, valamint a számítógépi program (szoftver) és az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információk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megjelenítése. (Szt. 1. §).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8. </w:t>
      </w:r>
      <w:r>
        <w:rPr>
          <w:rFonts w:ascii="Tahoma" w:hAnsi="Tahoma" w:cs="Tahoma"/>
          <w:i/>
          <w:sz w:val="18"/>
          <w:szCs w:val="18"/>
          <w:lang w:val="hu-HU"/>
        </w:rPr>
        <w:t>Szellemi tulajdon</w:t>
      </w:r>
      <w:r>
        <w:rPr>
          <w:rFonts w:ascii="Tahoma" w:hAnsi="Tahoma" w:cs="Tahoma"/>
          <w:i/>
          <w:iCs/>
          <w:sz w:val="18"/>
          <w:szCs w:val="18"/>
          <w:lang w:val="hu-HU"/>
        </w:rPr>
        <w:t xml:space="preserve">: </w:t>
      </w:r>
      <w:r>
        <w:rPr>
          <w:rFonts w:ascii="Tahoma" w:hAnsi="Tahoma" w:cs="Tahoma"/>
          <w:sz w:val="18"/>
          <w:szCs w:val="18"/>
          <w:lang w:val="hu-HU"/>
        </w:rPr>
        <w:t xml:space="preserve">a szellemi alkotások tekintetében fennálló, a tulajdonjoghoz hasonló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abszolút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szerkezetű jogviszony, amely az iparjogvédelmi oltalom megszerzésével, illetve azon lépések megtételével jön létre, amelyek az adott szellemi alkotás titokban tartását szolgálják, illetve amely jogviszony szerzői művek esetében a szellemi alkotás létrehozásával keletkezik.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9. </w:t>
      </w:r>
      <w:r>
        <w:rPr>
          <w:rFonts w:ascii="Tahoma" w:hAnsi="Tahoma" w:cs="Tahoma"/>
          <w:i/>
          <w:sz w:val="18"/>
          <w:szCs w:val="18"/>
          <w:lang w:val="hu-HU"/>
        </w:rPr>
        <w:t>Szellemi vagyon</w:t>
      </w:r>
      <w:r>
        <w:rPr>
          <w:rFonts w:ascii="Tahoma" w:hAnsi="Tahoma" w:cs="Tahoma"/>
          <w:i/>
          <w:iCs/>
          <w:sz w:val="18"/>
          <w:szCs w:val="18"/>
          <w:lang w:val="hu-HU"/>
        </w:rPr>
        <w:t>:</w:t>
      </w:r>
      <w:r>
        <w:rPr>
          <w:rFonts w:ascii="Tahoma" w:hAnsi="Tahoma" w:cs="Tahoma"/>
          <w:sz w:val="18"/>
          <w:szCs w:val="18"/>
          <w:lang w:val="hu-HU"/>
        </w:rPr>
        <w:t xml:space="preserve"> a szellemi tulajdonon és immateriális javakon túl ide tartoznak a szintén vagyoni értékkel bíró, ám alkotási folyamatot rendszerint nélkülöző, iparjogvédelmi oltalommal védett árujelzők (védjegyek és földrajzi árujelzők), vagy az ilyen oltalomban nem részesíthető egyéb javak, pl. a goodwill.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10. </w:t>
      </w:r>
      <w:r>
        <w:rPr>
          <w:rFonts w:ascii="Tahoma" w:hAnsi="Tahoma" w:cs="Tahoma"/>
          <w:i/>
          <w:sz w:val="18"/>
          <w:szCs w:val="18"/>
          <w:lang w:val="hu-HU"/>
        </w:rPr>
        <w:t>Szolgálati találmány</w:t>
      </w:r>
      <w:r>
        <w:rPr>
          <w:rFonts w:ascii="Tahoma" w:hAnsi="Tahoma" w:cs="Tahoma"/>
          <w:i/>
          <w:iCs/>
          <w:sz w:val="18"/>
          <w:szCs w:val="18"/>
          <w:lang w:val="hu-HU"/>
        </w:rPr>
        <w:t>:</w:t>
      </w:r>
      <w:r>
        <w:rPr>
          <w:rFonts w:ascii="Tahoma" w:hAnsi="Tahoma" w:cs="Tahoma"/>
          <w:sz w:val="18"/>
          <w:szCs w:val="18"/>
          <w:lang w:val="hu-HU"/>
        </w:rPr>
        <w:t xml:space="preserve"> annak a találmánya, akinek munkaviszonyból folyó kötelessége, hogy a találmány tárgykörébe eső megoldásokat dolgozzon ki; a szolgálati találmányra a szabadalom a feltaláló jogutódjaként a munkáltatót illeti meg. (Szt. 9-10. §-ok).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11. </w:t>
      </w:r>
      <w:r>
        <w:rPr>
          <w:rFonts w:ascii="Tahoma" w:hAnsi="Tahoma" w:cs="Tahoma"/>
          <w:i/>
          <w:sz w:val="18"/>
          <w:szCs w:val="18"/>
          <w:lang w:val="hu-HU"/>
        </w:rPr>
        <w:t>Védjegy</w:t>
      </w:r>
      <w:r>
        <w:rPr>
          <w:rFonts w:ascii="Tahoma" w:hAnsi="Tahoma" w:cs="Tahoma"/>
          <w:i/>
          <w:iCs/>
          <w:sz w:val="18"/>
          <w:szCs w:val="18"/>
          <w:lang w:val="hu-HU"/>
        </w:rPr>
        <w:t>:</w:t>
      </w:r>
      <w:r>
        <w:rPr>
          <w:rFonts w:ascii="Tahoma" w:hAnsi="Tahoma" w:cs="Tahoma"/>
          <w:sz w:val="18"/>
          <w:szCs w:val="18"/>
          <w:lang w:val="hu-HU"/>
        </w:rPr>
        <w:t xml:space="preserve"> minden megjelölés, amely alkalmas arra, hogy valamely árut vagy szolgáltatást megkülönböztessen mások áruitól vagy szolgáltatásaitól (a védjegyek és a földrajzi árujelzők oltalmáról szóló 1997. évi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XI .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törvény 1. §-a).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12. </w:t>
      </w:r>
      <w:r>
        <w:rPr>
          <w:rFonts w:ascii="Tahoma" w:hAnsi="Tahoma" w:cs="Tahoma"/>
          <w:i/>
          <w:iCs/>
          <w:sz w:val="18"/>
          <w:szCs w:val="18"/>
          <w:lang w:val="hu-HU"/>
        </w:rPr>
        <w:t>Hasznosító vállalkozás:</w:t>
      </w:r>
      <w:r>
        <w:rPr>
          <w:rFonts w:ascii="Tahoma" w:hAnsi="Tahoma" w:cs="Tahoma"/>
          <w:sz w:val="18"/>
          <w:szCs w:val="18"/>
          <w:lang w:val="hu-HU"/>
        </w:rPr>
        <w:t xml:space="preserve"> költségvetési kutatóhelyen létrejött szellemi alkotás hasznosítása céljából alapított gazdasági társaság, amely nem pénzbeli hozzájárulásként rendelkezésre bocsátás, átruházás vagy hasznosítási szerződés alapján vált a költségvetési kutatóhelyen létrehozott szellemi alkotáshoz fűződő jogok jogosultjává vagy hasznosítójává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13. </w:t>
      </w:r>
      <w:r>
        <w:rPr>
          <w:rFonts w:ascii="Tahoma" w:hAnsi="Tahoma" w:cs="Tahoma"/>
          <w:i/>
          <w:iCs/>
          <w:sz w:val="18"/>
          <w:szCs w:val="18"/>
          <w:lang w:val="hu-HU"/>
        </w:rPr>
        <w:t>Kutatás-fejlesztési megállapodás:</w:t>
      </w:r>
      <w:r>
        <w:rPr>
          <w:rFonts w:ascii="Tahoma" w:hAnsi="Tahoma" w:cs="Tahoma"/>
          <w:sz w:val="18"/>
          <w:szCs w:val="18"/>
          <w:lang w:val="hu-HU"/>
        </w:rPr>
        <w:t xml:space="preserve"> A tudományos kutatásról, fejlesztésről és innovációról szóló 2014. évi LXXVI. törvény szerinti megállapodás</w:t>
      </w: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126837" w:rsidRDefault="00126837" w:rsidP="00126837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14. </w:t>
      </w:r>
      <w:r>
        <w:rPr>
          <w:rFonts w:ascii="Tahoma" w:hAnsi="Tahoma" w:cs="Tahoma"/>
          <w:i/>
          <w:iCs/>
          <w:sz w:val="18"/>
          <w:szCs w:val="18"/>
          <w:lang w:val="hu-HU"/>
        </w:rPr>
        <w:t>Hasznosítási megállapodás:</w:t>
      </w:r>
      <w:r>
        <w:rPr>
          <w:rFonts w:ascii="Tahoma" w:hAnsi="Tahoma" w:cs="Tahoma"/>
          <w:sz w:val="18"/>
          <w:szCs w:val="18"/>
          <w:lang w:val="hu-HU"/>
        </w:rPr>
        <w:t xml:space="preserve"> A szellemi alkotás hasznosítása céljából létrejött, nem pénzbeli hozzájárulásként történő rendelkezésre bocsájtási, vagy átruházási, vagy hasznosítási feltételeket rögzítő jogokat és kötelezettségeket keletkeztető megállapodás.</w:t>
      </w:r>
    </w:p>
    <w:p w:rsidR="00952988" w:rsidRDefault="00952988"/>
    <w:sectPr w:rsidR="00952988" w:rsidSect="006B3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43" w:right="843" w:bottom="184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36" w:rsidRDefault="00643E36">
      <w:r>
        <w:separator/>
      </w:r>
    </w:p>
  </w:endnote>
  <w:endnote w:type="continuationSeparator" w:id="0">
    <w:p w:rsidR="00643E36" w:rsidRDefault="0064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Pr="00B4392C" w:rsidRDefault="006B35D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Pr="0055408A" w:rsidRDefault="00126837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59264" behindDoc="1" locked="0" layoutInCell="1" allowOverlap="1" wp14:anchorId="32AAB0D2" wp14:editId="594E27FA">
          <wp:simplePos x="0" y="0"/>
          <wp:positionH relativeFrom="margin">
            <wp:align>left</wp:align>
          </wp:positionH>
          <wp:positionV relativeFrom="paragraph">
            <wp:posOffset>-161069</wp:posOffset>
          </wp:positionV>
          <wp:extent cx="5808269" cy="800100"/>
          <wp:effectExtent l="0" t="0" r="2540" b="0"/>
          <wp:wrapNone/>
          <wp:docPr id="15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826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  <w:t>MENEDZSMENT CAMPUS</w:t>
    </w:r>
    <w:r w:rsidR="00042F57">
      <w:rPr>
        <w:rFonts w:ascii="Tahoma" w:hAnsi="Tahoma" w:cs="Tahoma"/>
        <w:b/>
        <w:color w:val="FFFFFF" w:themeColor="background1"/>
        <w:sz w:val="18"/>
        <w:szCs w:val="18"/>
        <w:lang w:val="en-US"/>
      </w:rPr>
      <w:t xml:space="preserve"> KOMPETENCIA KÖZPONT</w:t>
    </w:r>
  </w:p>
  <w:p w:rsidR="00FD7380" w:rsidRPr="00AB1085" w:rsidRDefault="00126837" w:rsidP="00AB1085">
    <w:pPr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 w:rsidRPr="00AB1085">
      <w:rPr>
        <w:rFonts w:ascii="Tahoma" w:hAnsi="Tahoma" w:cs="Tahoma"/>
        <w:b/>
        <w:bCs/>
        <w:sz w:val="15"/>
        <w:szCs w:val="15"/>
        <w:lang w:val="en-US"/>
      </w:rPr>
      <w:fldChar w:fldCharType="begin"/>
    </w:r>
    <w:r w:rsidRPr="00AB1085">
      <w:rPr>
        <w:rFonts w:ascii="Tahoma" w:hAnsi="Tahoma" w:cs="Tahoma"/>
        <w:b/>
        <w:bCs/>
        <w:sz w:val="15"/>
        <w:szCs w:val="15"/>
        <w:lang w:val="en-US"/>
      </w:rPr>
      <w:instrText>PAGE   \* MERGEFORMAT</w:instrText>
    </w:r>
    <w:r w:rsidRPr="00AB1085">
      <w:rPr>
        <w:rFonts w:ascii="Tahoma" w:hAnsi="Tahoma" w:cs="Tahoma"/>
        <w:b/>
        <w:bCs/>
        <w:sz w:val="15"/>
        <w:szCs w:val="15"/>
        <w:lang w:val="en-US"/>
      </w:rPr>
      <w:fldChar w:fldCharType="separate"/>
    </w:r>
    <w:r w:rsidR="006B35D1">
      <w:rPr>
        <w:rFonts w:ascii="Tahoma" w:hAnsi="Tahoma" w:cs="Tahoma"/>
        <w:b/>
        <w:bCs/>
        <w:noProof/>
        <w:sz w:val="15"/>
        <w:szCs w:val="15"/>
        <w:lang w:val="en-US"/>
      </w:rPr>
      <w:t>2</w:t>
    </w:r>
    <w:r w:rsidRPr="00AB1085">
      <w:rPr>
        <w:rFonts w:ascii="Tahoma" w:hAnsi="Tahoma" w:cs="Tahoma"/>
        <w:b/>
        <w:bCs/>
        <w:sz w:val="15"/>
        <w:szCs w:val="15"/>
        <w:lang w:val="en-US"/>
      </w:rPr>
      <w:fldChar w:fldCharType="end"/>
    </w:r>
    <w:r>
      <w:rPr>
        <w:rFonts w:ascii="Tahoma" w:hAnsi="Tahoma" w:cs="Tahoma"/>
        <w:b/>
        <w:bCs/>
        <w:sz w:val="15"/>
        <w:szCs w:val="15"/>
        <w:lang w:val="en-US"/>
      </w:rPr>
      <w:tab/>
    </w:r>
    <w:r>
      <w:rPr>
        <w:noProof/>
        <w:lang w:val="hu-HU" w:eastAsia="hu-HU"/>
      </w:rPr>
      <w:drawing>
        <wp:inline distT="0" distB="0" distL="0" distR="0" wp14:anchorId="26608ACC" wp14:editId="60B979F1">
          <wp:extent cx="76200" cy="76200"/>
          <wp:effectExtent l="0" t="0" r="0" b="0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EA5B2D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EA5B2D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 w:rsidR="00EA5B2D"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 w:rsidR="00EA5B2D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 w:rsidR="00EA5B2D"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 w:rsidR="00EA5B2D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1.</w:t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="00042F57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9007 </w:t>
    </w:r>
    <w:proofErr w:type="spellStart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, Pf. 701.</w:t>
    </w:r>
  </w:p>
  <w:p w:rsidR="00FD7380" w:rsidRPr="0055408A" w:rsidRDefault="00126837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687F77B" wp14:editId="692DF6DC">
          <wp:extent cx="92242" cy="92242"/>
          <wp:effectExtent l="0" t="0" r="0" b="0"/>
          <wp:docPr id="15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23643336" wp14:editId="560D5790">
          <wp:extent cx="80493" cy="80493"/>
          <wp:effectExtent l="0" t="0" r="0" b="0"/>
          <wp:docPr id="15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58E50AF3" wp14:editId="65E1EBBC">
          <wp:extent cx="80493" cy="80493"/>
          <wp:effectExtent l="0" t="0" r="0" b="0"/>
          <wp:docPr id="15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F57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mc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@sze.hu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042F57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042F57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042F57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271D74DF" wp14:editId="3019663B">
          <wp:extent cx="83712" cy="83712"/>
          <wp:effectExtent l="0" t="0" r="5715" b="5715"/>
          <wp:docPr id="160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0D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="00042F57">
      <w:rPr>
        <w:rFonts w:ascii="Tahoma" w:hAnsi="Tahoma" w:cs="Tahoma"/>
        <w:color w:val="FFFFFF" w:themeColor="background1"/>
        <w:sz w:val="15"/>
        <w:szCs w:val="15"/>
        <w:lang w:val="en-US"/>
      </w:rPr>
      <w:t>http://mc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2D" w:rsidRDefault="00EA5B2D">
    <w:pPr>
      <w:pStyle w:val="llb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36" w:rsidRDefault="00643E36">
      <w:r>
        <w:separator/>
      </w:r>
    </w:p>
  </w:footnote>
  <w:footnote w:type="continuationSeparator" w:id="0">
    <w:p w:rsidR="00643E36" w:rsidRDefault="0064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Default="00126837">
    <w:pPr>
      <w:pStyle w:val="lfej"/>
    </w:pPr>
    <w:r>
      <w:rPr>
        <w:noProof/>
        <w:lang w:val="hu-HU" w:eastAsia="hu-HU"/>
      </w:rPr>
      <w:drawing>
        <wp:inline distT="0" distB="0" distL="0" distR="0" wp14:anchorId="1A9E86EE" wp14:editId="4EAB0F75">
          <wp:extent cx="2133600" cy="546100"/>
          <wp:effectExtent l="0" t="0" r="0" b="0"/>
          <wp:docPr id="15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Default="00126837">
    <w:pPr>
      <w:pStyle w:val="lfej"/>
    </w:pPr>
    <w:r>
      <w:rPr>
        <w:noProof/>
        <w:lang w:val="hu-HU" w:eastAsia="hu-HU"/>
      </w:rPr>
      <w:drawing>
        <wp:inline distT="0" distB="0" distL="0" distR="0" wp14:anchorId="137CE1C9" wp14:editId="38EE8D2C">
          <wp:extent cx="2133600" cy="508884"/>
          <wp:effectExtent l="0" t="0" r="0" b="5715"/>
          <wp:docPr id="1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071" cy="51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Default="00126837">
    <w:pPr>
      <w:pStyle w:val="lfej"/>
    </w:pPr>
    <w:r>
      <w:rPr>
        <w:noProof/>
        <w:lang w:val="hu-HU" w:eastAsia="hu-HU"/>
      </w:rPr>
      <w:drawing>
        <wp:inline distT="0" distB="0" distL="0" distR="0" wp14:anchorId="5973A964" wp14:editId="453657DD">
          <wp:extent cx="2133600" cy="546100"/>
          <wp:effectExtent l="0" t="0" r="0" b="0"/>
          <wp:docPr id="16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37"/>
    <w:rsid w:val="00042F57"/>
    <w:rsid w:val="00126837"/>
    <w:rsid w:val="001A0CEA"/>
    <w:rsid w:val="00643E36"/>
    <w:rsid w:val="006B35D1"/>
    <w:rsid w:val="00952988"/>
    <w:rsid w:val="00B440D4"/>
    <w:rsid w:val="00EA5B2D"/>
    <w:rsid w:val="00E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825D8-6A9F-44A2-93E4-657DCF89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837"/>
    <w:pPr>
      <w:spacing w:after="0" w:line="240" w:lineRule="auto"/>
    </w:pPr>
    <w:rPr>
      <w:sz w:val="24"/>
      <w:szCs w:val="24"/>
      <w:lang w:val="en-GB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26837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2683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126837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126837"/>
    <w:rPr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126837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126837"/>
    <w:rPr>
      <w:sz w:val="24"/>
      <w:szCs w:val="24"/>
      <w:lang w:val="en-GB"/>
    </w:rPr>
  </w:style>
  <w:style w:type="paragraph" w:styleId="Listaszerbekezds">
    <w:name w:val="List Paragraph"/>
    <w:basedOn w:val="Norml"/>
    <w:link w:val="ListaszerbekezdsChar"/>
    <w:uiPriority w:val="34"/>
    <w:qFormat/>
    <w:rsid w:val="00126837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12683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Tilai Janka</dc:creator>
  <cp:keywords/>
  <dc:description/>
  <cp:lastModifiedBy>Tilai Janka</cp:lastModifiedBy>
  <cp:revision>6</cp:revision>
  <dcterms:created xsi:type="dcterms:W3CDTF">2020-06-24T09:27:00Z</dcterms:created>
  <dcterms:modified xsi:type="dcterms:W3CDTF">2020-06-29T13:50:00Z</dcterms:modified>
</cp:coreProperties>
</file>